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EC" w:rsidRDefault="005C4FEC" w:rsidP="005C4FEC">
      <w:pPr>
        <w:pStyle w:val="a5"/>
        <w:jc w:val="center"/>
        <w:rPr>
          <w:b/>
          <w:sz w:val="28"/>
          <w:szCs w:val="28"/>
        </w:rPr>
      </w:pPr>
      <w:r w:rsidRPr="005C4FEC">
        <w:rPr>
          <w:b/>
          <w:sz w:val="28"/>
          <w:szCs w:val="28"/>
        </w:rPr>
        <w:t xml:space="preserve">Обзор ключевых изменений законодательства </w:t>
      </w:r>
    </w:p>
    <w:p w:rsidR="005C4FEC" w:rsidRPr="005C4FEC" w:rsidRDefault="005C4FEC" w:rsidP="005C4FEC">
      <w:pPr>
        <w:pStyle w:val="a5"/>
        <w:jc w:val="center"/>
        <w:rPr>
          <w:b/>
          <w:sz w:val="28"/>
          <w:szCs w:val="28"/>
        </w:rPr>
      </w:pPr>
      <w:r w:rsidRPr="005C4FEC">
        <w:rPr>
          <w:b/>
          <w:sz w:val="28"/>
          <w:szCs w:val="28"/>
        </w:rPr>
        <w:t>в сфере энергетики в мае 2017</w:t>
      </w:r>
    </w:p>
    <w:p w:rsidR="005C4FEC" w:rsidRPr="005C4FEC" w:rsidRDefault="005C4FEC" w:rsidP="005C4F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C4FEC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bookmarkStart w:id="0" w:name="_GoBack"/>
      <w:bookmarkEnd w:id="0"/>
    </w:p>
    <w:p w:rsidR="005C4FEC" w:rsidRPr="005C4FEC" w:rsidRDefault="005C4FEC" w:rsidP="005C4FEC">
      <w:pPr>
        <w:shd w:val="clear" w:color="auto" w:fill="FFFFFF"/>
        <w:spacing w:after="270" w:line="300" w:lineRule="atLeast"/>
        <w:ind w:left="840" w:righ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BigpowerNews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tbl>
      <w:tblPr>
        <w:tblW w:w="0" w:type="auto"/>
        <w:tblInd w:w="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963"/>
        <w:gridCol w:w="4705"/>
        <w:gridCol w:w="1522"/>
      </w:tblGrid>
      <w:tr w:rsidR="005C4FEC" w:rsidRPr="005C4FEC" w:rsidTr="005C4FE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FEC" w:rsidRPr="005C4FEC" w:rsidRDefault="005C4FEC" w:rsidP="005C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FEC" w:rsidRPr="005C4FEC" w:rsidRDefault="005C4FEC" w:rsidP="005C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закона/документа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FEC" w:rsidRPr="005C4FEC" w:rsidRDefault="005C4FEC" w:rsidP="005C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FEC" w:rsidRPr="005C4FEC" w:rsidRDefault="005C4FEC" w:rsidP="005C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Начало действия / Вступление</w:t>
            </w: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в силу</w:t>
            </w:r>
          </w:p>
        </w:tc>
      </w:tr>
      <w:tr w:rsidR="005C4FEC" w:rsidRPr="005C4FEC" w:rsidTr="005C4FE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FEC" w:rsidRPr="005C4FEC" w:rsidRDefault="005C4FEC" w:rsidP="005C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FEC" w:rsidRPr="005C4FEC" w:rsidRDefault="005C4FEC" w:rsidP="005C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Постановление Правительства РФ от 18.05.2017 № 593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FEC" w:rsidRPr="005C4FEC" w:rsidRDefault="005C4FEC" w:rsidP="005C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Опубликованным 22.05.2017 постановлением признан утратившим силу пункт 163 Правил оптового рынка электрической энергии и мощности, утв. Постановлением Правительства РФ от 27.12.2010 № 1172.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Ранее данный пункт предусматривал, что для вводимых в эксплуатацию генерирующих объектов, в состав которых входит генерирующее оборудование инновационных видов (типов, образцов) в соответствии с перечнем, утверждаемым федеральным органом исполнительной власти, осуществляющим функции по выработке государственной политики в сфере топливно-энергетического комплекса, в течение устанавливаемого этим органом срока (с учетом особенностей работы атомных электростанций), но не более 12 месяцев со дня ввода их в эксплуатацию, при определении в соответствии с разделом IV Правил оптового рынка электрической энергии и мощности объема недопоставки мощности значения соответствующих коэффициентов уменьшаются вдвое.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FEC" w:rsidRPr="005C4FEC" w:rsidRDefault="005C4FEC" w:rsidP="005C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Документ вступил</w:t>
            </w: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в силу с 30.05.2017</w:t>
            </w:r>
          </w:p>
        </w:tc>
      </w:tr>
      <w:tr w:rsidR="005C4FEC" w:rsidRPr="005C4FEC" w:rsidTr="005C4FE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FEC" w:rsidRPr="005C4FEC" w:rsidRDefault="005C4FEC" w:rsidP="005C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FEC" w:rsidRPr="005C4FEC" w:rsidRDefault="005C4FEC" w:rsidP="005C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Постановление Правительства РФ</w:t>
            </w: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от 20.05.2017 № 603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FEC" w:rsidRPr="005C4FEC" w:rsidRDefault="005C4FEC" w:rsidP="005C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Вступившим в силу с 31.05.2017 постановлением утверждены изменения в Постановление Правительства РФ от 25.01.2011 № 18 «Об утверждении Правил установления требований энергетической эффективности для зданий, строений, сооружений и требований к правилам определения класса энергетической эффективности многоквартирных домов».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 рамках указанных изменений: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 Скорректированы показатели, характеризующие выполнение требований энергетической эффективности, к которым относятся: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  показатель удельного годового расхода энергетических ресурсов на отопление и вентиляцию для всех типов зданий, строений и сооружений;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  показатель удельного годового расхода электрической энергии на общедомовые нужды и показатель удельного годового расхода тепловой энергии на горячее водоснабжение для многоквартирных домов;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—  показатель удельного годового расхода 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энергетических ресурсов на охлаждение (включая кондиционирование) для всех типов зданий, строений, сооружений, за исключением многоквартирных домов.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 Скорректированы обязательные технические требования, обеспечивающие достижение показателей, характеризующих выполнение требований энергетической эффективности.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 Установлена обязанность по </w:t>
            </w:r>
            <w:proofErr w:type="spellStart"/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подтверждению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управляющими</w:t>
            </w:r>
            <w:proofErr w:type="spellEnd"/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организациями, товариществами собственников жилья, жилищными, жилищно-строительными и иными специализированными потребительскими кооперативами, осуществляющими управление многоквартирными домами, а также юридическими лицами и индивидуальными предпринимателями, осуществляющими деятельность по выполнению услуг по содержанию и (или) работ по ремонту общего имущества в многоквартирном доме, при непосредственном управлении многоквартирным домом собственниками помещений в таком доме, </w:t>
            </w: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нормируемых показателей энергетической эффективности в части элементов конструкций и инженерных систем многоквартирного дома, изменяемых при капитальном ремонте общего имущества, после окончания капитального </w:t>
            </w:r>
            <w:proofErr w:type="spellStart"/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ремонтаинструментально</w:t>
            </w:r>
            <w:proofErr w:type="spellEnd"/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-расчетным методом.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4. 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 порядок уменьшения показателей годовых удельных расходов энергетических ресурсов, в соответствии с которым 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характеризующих годовые удельные расходы энергетических ресурсов в здании, строении, сооружении, не реже чем 1 раз в 5 лет: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a)         для вновь создаваемых зданий, строений, сооружений с 1 января 2018 г. – не менее чем на 20 процентов по отношению к базовому уровню, с 1 января 2023 г. – не менее чем на 40 процентов по отношению к базовому уровню, с 1 января 2028 г. – не менее чем на 50 процентов по отношению к базовому уровню;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b)        для реконструируемых или проходящих капитальный ремонт зданий (за исключением многоквартирных домов), строений, сооружений с 1 января 2018 г. – не менее чем на 20 процентов по отношению к базовому уровню.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5. 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Кроме того, изменения предусматривают полномочия государственных органов по определению класса энергетической эффективности многоквартирного дома, в рамках которых: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  класс энергетической эффективности определяется органом государственного строительного надзора для многоквартирного дома, подлежащего государственному строительному надзору, и указывается в заключении органа государственного строительного надзора о соответствии, в случае если при строительстве, реконструкции многоквартирного дома не были допущены нарушения соответствия выполняемых работ требованиям технических регламентов, иных нормативных правовых актов и проектной документации, в том числе требованиям в отношении энергетической эффективности и требованиям в отношении оснащенности объекта капитального строительства приборами учета используемых энергетических ресурсов;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—  класс энергетической эффективности определяется органом государственного жилищного надзора в процессе эксплуатации многоквартирного дома на основании фактических значений показателей годовых удельных величин расхода энергетических ресурсов, </w:t>
            </w:r>
            <w:proofErr w:type="spellStart"/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определенныхинструментально</w:t>
            </w:r>
            <w:proofErr w:type="spellEnd"/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-расчетным методом.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FEC" w:rsidRPr="005C4FEC" w:rsidRDefault="005C4FEC" w:rsidP="005C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Документ вступил</w:t>
            </w: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в силу с 31.05.2017</w:t>
            </w:r>
          </w:p>
        </w:tc>
      </w:tr>
      <w:tr w:rsidR="005C4FEC" w:rsidRPr="005C4FEC" w:rsidTr="005C4FE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FEC" w:rsidRPr="005C4FEC" w:rsidRDefault="005C4FEC" w:rsidP="005C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FEC" w:rsidRPr="005C4FEC" w:rsidRDefault="005C4FEC" w:rsidP="005C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Постановление Правительства РФ</w:t>
            </w: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от 23.05.2017 № 610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FEC" w:rsidRPr="005C4FEC" w:rsidRDefault="005C4FEC" w:rsidP="005C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Вступившим в силу с 01.06.2017 постановлением внесены изменения в Правила квалификации генерирующего объекта, функционирующего на основе использования возобновляемых источников энергии, утв. Постановлением Правительства РФ от 03.05.2008 № 426 (далее – Правила № 426).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 частности, изменения коснулись пункта 21 Правил № 426, в соответствии с которым подтверждение страны происхождения элементов оборудования (оборудования в сборе), использованных при строительстве генерирующего объекта, функционирующего на основе использования возобновляемых источников энергии, и выполнения работ на территории Российской Федерации при проектировании и строительстве генерирующего объекта проводится на основании декларации о происхождении товара либо на основании сертификатов о происхождении товара, либо на основании специального инвестиционного контракта, оформленных в соответствии с законодательством Российской Федерации, а также на основе иных подтверждающих документов.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Кроме того, Правила № 426 дополнены Приложением № 1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1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(перечень условий для 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определения вклада отдельных элементов оборудования (оборудования в сборе) и работ в степень локализации по генерирующему объекту, функционирующему на основе использования энергии ветра).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Предыдущее Приложение № 1, устанавливающее аналогичный перечень условий, распространяется на отборы инвестиционных проектов, проведенных до 01.06.2016.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FEC" w:rsidRPr="005C4FEC" w:rsidRDefault="005C4FEC" w:rsidP="005C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Документ вступил</w:t>
            </w: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в силу с 01.06.2017</w:t>
            </w:r>
          </w:p>
        </w:tc>
      </w:tr>
      <w:tr w:rsidR="005C4FEC" w:rsidRPr="005C4FEC" w:rsidTr="005C4FE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FEC" w:rsidRPr="005C4FEC" w:rsidRDefault="005C4FEC" w:rsidP="005C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FEC" w:rsidRPr="005C4FEC" w:rsidRDefault="005C4FEC" w:rsidP="005C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Постановление Правительства РФ</w:t>
            </w: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от 24.05.2017 № 619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FEC" w:rsidRPr="005C4FEC" w:rsidRDefault="005C4FEC" w:rsidP="005C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Вступающим в силу с 07.06.2017 постановлением внесены изменения в Правила расследования причин аварий в электроэнергетике, утв. Постановлением Правительства Российской Федерации от 28.10.2009 № 846 (далее – Правила № 846).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 рамках внесенных изменений Министерству энергетики Российской Федерации поручено в 3−месячный срок привести в соответствие с настоящим постановлением: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  форму акта о расследовании причин аварий в электроэнергетике и порядок ее заполнения;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  форму отчета об авариях в электроэнергетике и порядок ее заполнения;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—  порядок передачи оперативной информации об авариях в электроэнергетике.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Кроме того, внесенные в Правила № 846 изменения предусматривают, что собственник, иной законный владелец объекта электроэнергетики и (или) энергопринимающей установки либо эксплуатирующая их организация незамедлительно уведомляют о возникновении аварии диспетчерский центр субъекта оперативно-</w:t>
            </w:r>
            <w:proofErr w:type="spellStart"/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диспетчерскогоуправления</w:t>
            </w:r>
            <w:proofErr w:type="spellEnd"/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 электроэнергетике, в операционной зоне которого находятся объект электроэнергетики и (или) энергопринимающая установка, орган федерального государственного энергетического надзора, уполномоченный орган в сфере электроэнергетики, а также подведомственное уполномоченному органу в сфере электроэнергетики государственное бюджетное учреждение в соответствии с порядком передачи оперативной информации об авариях в электроэнергетике, утвержденным уполномоченным органом в сфере электроэнергетики.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Для определения показателей надежности, в том числе индикативных показателей надежности, для организации по управлению единой национальной (общероссийской) электрической сетью и территориальных сетевых организаций используется информация (оперативная информация об авариях в электроэнергетике и отчет об авариях в электроэнергетике, включая информацию о прекращениях передачи электрической энергии, связанных 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 проведением ремонтных и </w:t>
            </w:r>
            <w:proofErr w:type="spellStart"/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внерегламентных</w:t>
            </w:r>
            <w:proofErr w:type="spellEnd"/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работ), представляемая указанными организациями Министерству энергетики Российской Федерации, а также подведомственному Министерству государственному бюджетному учреждению в соответствии с Правилами № 846.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Контроль полноты и своевременности предоставления данных о перерывах электроснабжения, а также проверка их достоверности осуществляется Министерством энергетики Российской Федерации путем сопоставления данных, содержащихся в журнале учета данных первичной информации по всем прекращениям передачи электрической энергии, произошедшим на объектах сетевой организации (далее – журнал учета данных), и корректирующей ведомости журнала учета данных, форма и порядок заполнения которых определяются методическими указаниями, с информацией, полученной в соответствии с настоящим Положением и Правилами расследования причин аварий в электроэнергетике от организации по управлению единой национальной (общероссийской) электрической сетью и территориальных сетевых организаций, а также от иных организаций и (или) органов исполнительной власти субъектов Российской Федерации.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 этом существенными нарушениями порядка определения фактических показателей надежности и качества признаются: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а) факт непредоставления организацией регулирующему органу и (или) в Министерство энергетики Российской Федерации отчетных данных и данных о перерывах электроснабжения;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б) неоднократное, более 2 раз в течение месяца отчетного года, предоставление организацией регулирующему органу и (или) в Министерство энергетики Российской Федерации отчетных данных и данных о перерывах электроснабжения в неполном объеме;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в) неоднократное, более 2 раз в течение месяца отчетного года, нарушение организацией сроков предоставления информации, установленных порядком передачи оперативной информации об авариях в электроэнергетике, утвержденным Министерством энергетики Российской Федерации;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г) неоднократное, более 2 раз в течение месяца отчетного года, предоставление организацией недостоверных отчетных данных и данных о перерывах электроснабжения, если соответствующие факты выявлены 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 подтверждены Министерством энергетики Российской Федерации и (или) регулирующим органом.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Кроме того, в рамках внесенных изменений организация по управлению единой национальной (общероссийской) электрической сетью и территориальные сетевые организации предоставляют ежемесячно в Министерство энергетики Российской Федерации информацию о количестве точек присоединения к электрической сети организации и точек поставки согласно заключенным договорам об оказании услуг по передаче электрической энергии, а также ведомость присоединений потребителей услуг по передаче электрической энергии в соответствии с методическими указаниями по расчету уровня надежности и качества поставляемых товаров и оказываемых услуг для организации по управлению единой национальной (общероссийской) электрической сетью и территориальных сетевых организаций, утвержденными Министерством энергетики Российской Федерации.</w:t>
            </w:r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Гарантирующие поставщики и энергосбытовые (</w:t>
            </w:r>
            <w:proofErr w:type="spellStart"/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C4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организации представляют в регулирующие органы и Министерство энергетики Российской Федерации по их запросам информацию о количестве точек присоединения к электрической сети и точек поставки организации по управлению единой национальной (общероссийской) электрической сетью и территориальных сетевых организаций в соответствии с заключенными договорами об оказании услуг по передаче электрической энергии, а также информацию об обращениях граждан и юридических лиц, связанных с качеством оказания указанными организациями услуг по передаче электрической энергии.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FEC" w:rsidRPr="005C4FEC" w:rsidRDefault="005C4FEC" w:rsidP="005C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Документ вступает</w:t>
            </w:r>
            <w:r w:rsidRPr="005C4FE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в силу с 07.06.2017</w:t>
            </w:r>
          </w:p>
        </w:tc>
      </w:tr>
    </w:tbl>
    <w:p w:rsidR="000B4331" w:rsidRDefault="000B4331"/>
    <w:sectPr w:rsidR="000B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9D"/>
    <w:rsid w:val="000B4331"/>
    <w:rsid w:val="005A4F9D"/>
    <w:rsid w:val="005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79EF"/>
  <w15:chartTrackingRefBased/>
  <w15:docId w15:val="{0E249C9D-40D5-45FD-8463-C507AD9D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4FEC"/>
    <w:rPr>
      <w:i/>
      <w:iCs/>
    </w:rPr>
  </w:style>
  <w:style w:type="character" w:customStyle="1" w:styleId="apple-converted-space">
    <w:name w:val="apple-converted-space"/>
    <w:basedOn w:val="a0"/>
    <w:rsid w:val="005C4FEC"/>
  </w:style>
  <w:style w:type="paragraph" w:styleId="a5">
    <w:name w:val="No Spacing"/>
    <w:uiPriority w:val="1"/>
    <w:qFormat/>
    <w:rsid w:val="005C4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1837</Words>
  <Characters>10475</Characters>
  <Application>Microsoft Office Word</Application>
  <DocSecurity>0</DocSecurity>
  <Lines>87</Lines>
  <Paragraphs>24</Paragraphs>
  <ScaleCrop>false</ScaleCrop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Югош</dc:creator>
  <cp:keywords/>
  <dc:description/>
  <cp:lastModifiedBy>Татьяна П. Югош</cp:lastModifiedBy>
  <cp:revision>2</cp:revision>
  <dcterms:created xsi:type="dcterms:W3CDTF">2017-06-07T08:35:00Z</dcterms:created>
  <dcterms:modified xsi:type="dcterms:W3CDTF">2017-06-07T08:36:00Z</dcterms:modified>
</cp:coreProperties>
</file>