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CF2" w:rsidRPr="008B056A" w:rsidRDefault="00536CF2" w:rsidP="00536CF2">
      <w:pPr>
        <w:pStyle w:val="a3"/>
      </w:pPr>
      <w:r w:rsidRPr="008B056A">
        <w:t>Об</w:t>
      </w:r>
      <w:bookmarkStart w:id="0" w:name="обзор"/>
      <w:bookmarkEnd w:id="0"/>
      <w:r w:rsidRPr="008B056A">
        <w:t xml:space="preserve">зор ключевых изменений </w:t>
      </w:r>
      <w:proofErr w:type="spellStart"/>
      <w:r w:rsidRPr="008B056A">
        <w:t>законодательствав</w:t>
      </w:r>
      <w:proofErr w:type="spellEnd"/>
      <w:r w:rsidRPr="008B056A">
        <w:t xml:space="preserve"> сфере энергетики в июне 2017</w:t>
      </w:r>
    </w:p>
    <w:p w:rsidR="00536CF2" w:rsidRPr="008B056A" w:rsidRDefault="00536CF2" w:rsidP="00536CF2">
      <w:pPr>
        <w:pStyle w:val="a5"/>
      </w:pPr>
      <w:r w:rsidRPr="008B056A">
        <w:t>МОСКВА, 3 июля (</w:t>
      </w:r>
      <w:proofErr w:type="spellStart"/>
      <w:r w:rsidRPr="008B056A">
        <w:t>BigpowerNews</w:t>
      </w:r>
      <w:proofErr w:type="spellEnd"/>
      <w:r w:rsidRPr="008B056A">
        <w:t>) -</w:t>
      </w: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
        <w:gridCol w:w="1832"/>
        <w:gridCol w:w="621"/>
        <w:gridCol w:w="5254"/>
        <w:gridCol w:w="1470"/>
      </w:tblGrid>
      <w:tr w:rsidR="00536CF2" w:rsidRPr="008B056A" w:rsidTr="00536CF2">
        <w:tc>
          <w:tcPr>
            <w:tcW w:w="321"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w:t>
            </w:r>
          </w:p>
        </w:tc>
        <w:tc>
          <w:tcPr>
            <w:tcW w:w="1832" w:type="dxa"/>
            <w:tcBorders>
              <w:top w:val="outset" w:sz="6" w:space="0" w:color="auto"/>
              <w:left w:val="outset" w:sz="6" w:space="0" w:color="auto"/>
              <w:bottom w:val="outset" w:sz="6" w:space="0" w:color="auto"/>
              <w:right w:val="outset" w:sz="6" w:space="0" w:color="auto"/>
            </w:tcBorders>
            <w:hideMark/>
          </w:tcPr>
          <w:p w:rsidR="00536CF2" w:rsidRPr="009E694D" w:rsidRDefault="00536CF2" w:rsidP="00183AE9">
            <w:pPr>
              <w:pStyle w:val="a5"/>
              <w:rPr>
                <w:sz w:val="24"/>
                <w:szCs w:val="24"/>
              </w:rPr>
            </w:pPr>
            <w:r w:rsidRPr="009E694D">
              <w:rPr>
                <w:sz w:val="24"/>
                <w:szCs w:val="24"/>
              </w:rPr>
              <w:t>Название закона/документа</w:t>
            </w:r>
          </w:p>
        </w:tc>
        <w:tc>
          <w:tcPr>
            <w:tcW w:w="5875" w:type="dxa"/>
            <w:gridSpan w:val="2"/>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Описание</w:t>
            </w:r>
          </w:p>
        </w:tc>
        <w:tc>
          <w:tcPr>
            <w:tcW w:w="1470" w:type="dxa"/>
            <w:tcBorders>
              <w:top w:val="outset" w:sz="6" w:space="0" w:color="auto"/>
              <w:left w:val="outset" w:sz="6" w:space="0" w:color="auto"/>
              <w:bottom w:val="outset" w:sz="6" w:space="0" w:color="auto"/>
              <w:right w:val="outset" w:sz="6" w:space="0" w:color="auto"/>
            </w:tcBorders>
            <w:hideMark/>
          </w:tcPr>
          <w:p w:rsidR="00536CF2" w:rsidRPr="009E694D" w:rsidRDefault="00536CF2" w:rsidP="00183AE9">
            <w:pPr>
              <w:pStyle w:val="a5"/>
              <w:rPr>
                <w:sz w:val="24"/>
                <w:szCs w:val="24"/>
              </w:rPr>
            </w:pPr>
            <w:r w:rsidRPr="009E694D">
              <w:rPr>
                <w:sz w:val="24"/>
                <w:szCs w:val="24"/>
              </w:rPr>
              <w:t>Начало действия / Вступление</w:t>
            </w:r>
            <w:r w:rsidRPr="009E694D">
              <w:rPr>
                <w:sz w:val="24"/>
                <w:szCs w:val="24"/>
              </w:rPr>
              <w:br/>
              <w:t>в силу</w:t>
            </w:r>
          </w:p>
        </w:tc>
      </w:tr>
      <w:tr w:rsidR="00536CF2" w:rsidRPr="008B056A" w:rsidTr="00536CF2">
        <w:tc>
          <w:tcPr>
            <w:tcW w:w="321"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1.</w:t>
            </w:r>
          </w:p>
        </w:tc>
        <w:tc>
          <w:tcPr>
            <w:tcW w:w="1832" w:type="dxa"/>
            <w:tcBorders>
              <w:top w:val="outset" w:sz="6" w:space="0" w:color="auto"/>
              <w:left w:val="outset" w:sz="6" w:space="0" w:color="auto"/>
              <w:bottom w:val="outset" w:sz="6" w:space="0" w:color="auto"/>
              <w:right w:val="outset" w:sz="6" w:space="0" w:color="auto"/>
            </w:tcBorders>
            <w:hideMark/>
          </w:tcPr>
          <w:p w:rsidR="00536CF2" w:rsidRPr="009E694D" w:rsidRDefault="00536CF2" w:rsidP="00183AE9">
            <w:pPr>
              <w:pStyle w:val="a5"/>
              <w:rPr>
                <w:sz w:val="24"/>
                <w:szCs w:val="24"/>
              </w:rPr>
            </w:pPr>
            <w:r w:rsidRPr="009E694D">
              <w:rPr>
                <w:sz w:val="24"/>
                <w:szCs w:val="24"/>
              </w:rPr>
              <w:t>Постановление Правительства РФ от 24.05.2017 №624</w:t>
            </w:r>
          </w:p>
        </w:tc>
        <w:tc>
          <w:tcPr>
            <w:tcW w:w="5875" w:type="dxa"/>
            <w:gridSpan w:val="2"/>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Опубликованным 31.05.2017 г. Постановлением внесены изменения в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r w:rsidRPr="008B056A">
              <w:br/>
              <w:t>Постановление устанавливает обязанность гарантирующих поставщиков, энергосбытовых (энергоснабжающих) организаций, производителей электрической энергии (мощности) на розничных рынках электрической энергии и сетевых организаций в течение 20 дней после дня вступления в силу настоящего постановления по размещению на своих официальных сайтах в информационно-телекоммуникационной сети «Интернет»:</w:t>
            </w:r>
            <w:r w:rsidRPr="008B056A">
              <w:br/>
              <w:t>—  информации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уведомлений о введении ограничения режима потребления электрической энергии;</w:t>
            </w:r>
            <w:r w:rsidRPr="008B056A">
              <w:br/>
              <w:t>—  информации об обязанности потребителей (в отношении которых ограничение режима потребления электрической энергии может привести к экономическим, экологическим или социальным последствиям)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r w:rsidRPr="008B056A">
              <w:br/>
              <w:t xml:space="preserve">—  информации об ответственности, установленной законодательством Российской Федерации, за нарушение порядка полного </w:t>
            </w:r>
            <w:r w:rsidRPr="008B056A">
              <w:lastRenderedPageBreak/>
              <w:t>и (или) частичного ограничения режима потребления электрической энергии.</w:t>
            </w:r>
            <w:r w:rsidRPr="008B056A">
              <w:br/>
              <w:t>Постановлением признаны утратившими силу:</w:t>
            </w:r>
            <w:r w:rsidRPr="008B056A">
              <w:br/>
              <w:t>—  пункт 24 постановления Правительства Российской Федерации от 15 апреля 1998 г. № 392 «Об экономических условиях функционирования агропромышленного комплекса Российской Федерации в 1998 году»;</w:t>
            </w:r>
            <w:r w:rsidRPr="008B056A">
              <w:br/>
              <w:t>—  пункт 5 постановления Правительства Российской Федерации от 7 января 1999 г. № 23 «О неотложных мерах по повышению эффективности работы тепличных предприятий в 1999 году».</w:t>
            </w:r>
            <w:r w:rsidRPr="008B056A">
              <w:br/>
            </w:r>
            <w:r w:rsidRPr="008B056A">
              <w:br/>
              <w:t>В части корректировки порядка введения полного и (или) частичного ограничения режима потребления электрической энергии, данным Постановлением внесены изменения в:</w:t>
            </w:r>
            <w:r w:rsidRPr="008B056A">
              <w:br/>
              <w:t>1)             Стандарты раскрытия информации субъектами оптового и розничных рынков электрической энергии (утв. постановлением Правительства Российской Федерации от 21.01.2004 г. № 24) (далее – Стандарты № 24), в частности:</w:t>
            </w:r>
            <w:r w:rsidRPr="008B056A">
              <w:br/>
              <w:t>—  пункт 11 дополнен подпунктом «н» следующего содержания:</w:t>
            </w:r>
            <w:r w:rsidRPr="008B056A">
              <w:b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r w:rsidRPr="008B056A">
              <w:br/>
              <w:t>—  пункт 12 после абзаца шестого дополнен абзацем следующего содержания:</w:t>
            </w:r>
            <w:r w:rsidRPr="008B056A">
              <w:br/>
              <w:t>«Информация, указанная в подпункте „н“ пункта 11 настоящего документа, подлежит размещению на официальном сайте сетевой организации в сети „Интернет“.»;</w:t>
            </w:r>
            <w:r w:rsidRPr="008B056A">
              <w:br/>
              <w:t>—  раздел IV дополнен пунктом 17(3) следующего содержания:</w:t>
            </w:r>
            <w:r w:rsidRPr="008B056A">
              <w:br/>
              <w:t xml:space="preserve">«17(3). Производители, являющиеся субъектами розничных рынков электрической энергии, </w:t>
            </w:r>
            <w:r w:rsidRPr="008B056A">
              <w:lastRenderedPageBreak/>
              <w:t>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r w:rsidRPr="008B056A">
              <w:br/>
              <w:t>—  пункт 20 дополнен подпунктом «л» следующего содержания:</w:t>
            </w:r>
            <w:r w:rsidRPr="008B056A">
              <w:b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r w:rsidRPr="008B056A">
              <w:br/>
              <w:t>—  пункт 21 дополнен абзацем следующего содержания:</w:t>
            </w:r>
            <w:r w:rsidRPr="008B056A">
              <w:br/>
              <w:t>«Информация, указанная в подпункте „л“ пункта 20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r w:rsidRPr="008B056A">
              <w:br/>
              <w:t>2)             Правила недискриминационного доступа к услугам по передаче электрической энергии и оказания этих услуг, утв. постановлением Правительства Российской Федерации от 27 декабря 2004 г. № 861 (далее – ПНД № 861), в частности:</w:t>
            </w:r>
            <w:r w:rsidRPr="008B056A">
              <w:br/>
              <w:t>—  Правила № 861 дополнены пунктом 13(3) следующего содержания:</w:t>
            </w:r>
            <w:r w:rsidRPr="008B056A">
              <w:b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w:t>
            </w:r>
            <w:r w:rsidRPr="008B056A">
              <w:lastRenderedPageBreak/>
              <w:t>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r w:rsidRPr="008B056A">
              <w:br/>
              <w:t>—  Пункт 29 изложен в следующей редакции:</w:t>
            </w:r>
            <w:r w:rsidRPr="008B056A">
              <w:br/>
              <w:t>«29. Сетевая организация в порядке и по основаниям, которые указаны в Правилах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r w:rsidRPr="008B056A">
              <w:br/>
              <w:t>Сетевая организация вправе инициировать в связи с наступлением обстоятельств,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r w:rsidRPr="008B056A">
              <w:b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r w:rsidRPr="008B056A">
              <w:br/>
              <w:t>—  Пункт 50 изложен в следующей редакции:</w:t>
            </w:r>
            <w:r w:rsidRPr="008B056A">
              <w:b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w:t>
            </w:r>
            <w:r w:rsidRPr="008B056A">
              <w:lastRenderedPageBreak/>
              <w:t>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r w:rsidRPr="008B056A">
              <w:br/>
              <w:t>3)              Основные положения функционирования розничных рынков электрической энергии, утв. постановлением Правительства Российской Федерации от 4 мая 2012 г. № 442, в частности:</w:t>
            </w:r>
            <w:r w:rsidRPr="008B056A">
              <w:br/>
              <w:t>—  абзац первый пункта 196 заменен текстом следующего содержания:</w:t>
            </w:r>
            <w:r w:rsidRPr="008B056A">
              <w:br/>
              <w:t>«196. Объем бездоговорного потребления электрической энергии определяется расчетным способом, предусмотренным пунктом 2 приложения №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r w:rsidRPr="008B056A">
              <w:br/>
              <w:t>a)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r w:rsidRPr="008B056A">
              <w:br/>
              <w:t xml:space="preserve">b)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w:t>
            </w:r>
            <w:r w:rsidRPr="008B056A">
              <w:lastRenderedPageBreak/>
              <w:t>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w:t>
            </w:r>
            <w:proofErr w:type="spellStart"/>
            <w:r w:rsidRPr="008B056A">
              <w:t>субисполнителю</w:t>
            </w:r>
            <w:proofErr w:type="spellEnd"/>
            <w:r w:rsidRPr="008B056A">
              <w:t>) уведомлении о необходимости введения ограничения режима потребления (даты, следующей за датой получения исполнителем (</w:t>
            </w:r>
            <w:proofErr w:type="spellStart"/>
            <w:r w:rsidRPr="008B056A">
              <w:t>субисполнителем</w:t>
            </w:r>
            <w:proofErr w:type="spellEnd"/>
            <w:r w:rsidRPr="008B056A">
              <w:t>)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r w:rsidRPr="008B056A">
              <w:br/>
              <w:t>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r w:rsidRPr="008B056A">
              <w:br/>
              <w:t>Основные изменения внесены в Правила полного и (или) частичного ограничения режима потребления электрической энергии, утв. постановлением Правительства Российской Федерации от 4 мая 2012 г. № 442.</w:t>
            </w:r>
            <w:r w:rsidRPr="008B056A">
              <w:br/>
              <w:t>В частности, указанные изменения касаются:</w:t>
            </w:r>
            <w:r w:rsidRPr="008B056A">
              <w:br/>
              <w:t xml:space="preserve">—  сокращения этапов процедуры введения ограничения потребления электрической энергии до одного (непосредственно введение ограничения), при этом возможность введения частичного ограничения потребления электрической энергии распространяется на потребителей, ограничение потребления </w:t>
            </w:r>
            <w:r w:rsidRPr="008B056A">
              <w:lastRenderedPageBreak/>
              <w:t>которых может привести к экономическим, экологическим или социальным последствиям, имеющих акт согласования технологической и (или) аварийной брони, до уровня соответственно технологической и (или) аварийной брони, потребителей, не относящихся к данной категории, но оформивших акт согласования технологической и (или) аварийной брони, – до уровня технологической брони;</w:t>
            </w:r>
            <w:r w:rsidRPr="008B056A">
              <w:br/>
              <w:t>—  корректировки процедуры самоограничения потребления электрической энергии потребителем;</w:t>
            </w:r>
            <w:r w:rsidRPr="008B056A">
              <w:br/>
              <w:t>—  расширения перечня способов надлежащего уведомления о введении процедуры ограничения потребления электрической энергии;</w:t>
            </w:r>
            <w:r w:rsidRPr="008B056A">
              <w:br/>
              <w:t>—  описания способов контроля за соблюдением потребителями режима ограничения потребления электрической энергии.</w:t>
            </w:r>
          </w:p>
        </w:tc>
        <w:tc>
          <w:tcPr>
            <w:tcW w:w="1470" w:type="dxa"/>
            <w:tcBorders>
              <w:top w:val="outset" w:sz="6" w:space="0" w:color="auto"/>
              <w:left w:val="outset" w:sz="6" w:space="0" w:color="auto"/>
              <w:bottom w:val="outset" w:sz="6" w:space="0" w:color="auto"/>
              <w:right w:val="outset" w:sz="6" w:space="0" w:color="auto"/>
            </w:tcBorders>
            <w:hideMark/>
          </w:tcPr>
          <w:p w:rsidR="00536CF2" w:rsidRPr="009E694D" w:rsidRDefault="00536CF2" w:rsidP="00183AE9">
            <w:pPr>
              <w:pStyle w:val="a5"/>
              <w:rPr>
                <w:sz w:val="24"/>
                <w:szCs w:val="24"/>
              </w:rPr>
            </w:pPr>
            <w:r w:rsidRPr="009E694D">
              <w:rPr>
                <w:sz w:val="24"/>
                <w:szCs w:val="24"/>
              </w:rPr>
              <w:lastRenderedPageBreak/>
              <w:t>Документ вступает</w:t>
            </w:r>
            <w:r w:rsidRPr="009E694D">
              <w:rPr>
                <w:sz w:val="24"/>
                <w:szCs w:val="24"/>
              </w:rPr>
              <w:br/>
              <w:t>в силу с 29.09.2017</w:t>
            </w:r>
          </w:p>
        </w:tc>
      </w:tr>
      <w:tr w:rsidR="00536CF2" w:rsidRPr="008B056A" w:rsidTr="00536CF2">
        <w:tc>
          <w:tcPr>
            <w:tcW w:w="321"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lastRenderedPageBreak/>
              <w:t>2.</w:t>
            </w:r>
          </w:p>
        </w:tc>
        <w:tc>
          <w:tcPr>
            <w:tcW w:w="2453" w:type="dxa"/>
            <w:gridSpan w:val="2"/>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Постановление Правительства РФ</w:t>
            </w:r>
            <w:r w:rsidRPr="008B056A">
              <w:br/>
              <w:t>от 07.06.2017 №683</w:t>
            </w:r>
          </w:p>
        </w:tc>
        <w:tc>
          <w:tcPr>
            <w:tcW w:w="5254"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Вступившим в силу с 21.06.2017 г. Постановлением внесены изменения по вопросам проведения долгосрочных конкурентных отборов мощности новых генерирующих объектов в целях предупреждения дефицита электрической энергии и мощности.</w:t>
            </w:r>
            <w:r w:rsidRPr="008B056A">
              <w:br/>
              <w:t>Изменения внесены в стандарты раскрытия информации субъектами оптового и розничных рынков электрической энергии, утв. постановлением Правительства Российской Федерации от 21 января 2004 г. № 24, а также в Правила оптового рынка электрической энергии и мощности, утв. постановлением Правительства Российской Федерации от 27 декабря 2010 г. № 1172 (далее – Правила № 1172).</w:t>
            </w:r>
            <w:r w:rsidRPr="008B056A">
              <w:br/>
              <w:t>В частности, внесенные в Правила № 1172 изменения предусматривают, что:</w:t>
            </w:r>
            <w:r w:rsidRPr="008B056A">
              <w:br/>
              <w:t xml:space="preserve">—  По решению Правительства Российской Федерации, принятому в соответствии с пунктом 101(1)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w:t>
            </w:r>
            <w:r w:rsidRPr="008B056A">
              <w:lastRenderedPageBreak/>
              <w:t>определяется указанным решением.</w:t>
            </w:r>
            <w:r w:rsidRPr="008B056A">
              <w:br/>
              <w:t>—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решению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r w:rsidRPr="008B056A">
              <w:br/>
              <w:t>—  Продажа мощности по результатам отбора мощности новых генерирующих объектов производится в течение 180 месяцев начиная с установленной Правительством Российской Федерации для соответствующего отбора мощности новых генерирующих объектов даты начала поставки мощности.</w:t>
            </w:r>
            <w:r w:rsidRPr="008B056A">
              <w:br/>
              <w:t xml:space="preserve">—  Стоимость мощности, продаваемой по итогам отбора мощности новых генерирующих объектов, определяется </w:t>
            </w:r>
            <w:r w:rsidRPr="008B056A">
              <w:lastRenderedPageBreak/>
              <w:t>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разделом XVI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пункте 113 настоящих Правил №1172.</w:t>
            </w:r>
            <w:r w:rsidRPr="008B056A">
              <w:br/>
              <w:t>—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w:t>
            </w:r>
            <w:r w:rsidRPr="008B056A">
              <w:br/>
              <w:t xml:space="preserve">—  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увеличения, </w:t>
            </w:r>
            <w:r w:rsidRPr="008B056A">
              <w:lastRenderedPageBreak/>
              <w:t>но не более чем на 10 процентов.</w:t>
            </w:r>
            <w:r w:rsidRPr="008B056A">
              <w:br/>
              <w:t>Кроме того, внесены изменения в Раздел XVI Правил № 112, в рамках которых:</w:t>
            </w:r>
            <w:r w:rsidRPr="008B056A">
              <w:br/>
              <w:t>—  Наименование данного Раздела изложено как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w:t>
            </w:r>
            <w:r w:rsidRPr="008B056A">
              <w:br/>
              <w:t>—  Скорректирован порядок определения величины, отражающей фактическую стоимость технологического присоединения генерирующего объекта к сетям газораспределения.</w:t>
            </w:r>
          </w:p>
        </w:tc>
        <w:tc>
          <w:tcPr>
            <w:tcW w:w="1470"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lastRenderedPageBreak/>
              <w:t>Документ вступил</w:t>
            </w:r>
            <w:r w:rsidRPr="008B056A">
              <w:br/>
              <w:t>в силу с 21.06.2017</w:t>
            </w:r>
          </w:p>
        </w:tc>
      </w:tr>
      <w:tr w:rsidR="00536CF2" w:rsidRPr="008B056A" w:rsidTr="00536CF2">
        <w:tc>
          <w:tcPr>
            <w:tcW w:w="321"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lastRenderedPageBreak/>
              <w:t>3.</w:t>
            </w:r>
          </w:p>
        </w:tc>
        <w:tc>
          <w:tcPr>
            <w:tcW w:w="2453" w:type="dxa"/>
            <w:gridSpan w:val="2"/>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Постановление Правительства РФ</w:t>
            </w:r>
            <w:r w:rsidRPr="008B056A">
              <w:br/>
              <w:t>от 15.06.2017 №710</w:t>
            </w:r>
          </w:p>
        </w:tc>
        <w:tc>
          <w:tcPr>
            <w:tcW w:w="5254"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Вступающее в силу с 01.07.2017 г. Постановление предусматривает, что на территориях Республики Крым и г. Севастополя до 1 января 2020 г.:</w:t>
            </w:r>
            <w:r w:rsidRPr="008B056A">
              <w:br/>
              <w:t>—  установление подлежащих государственному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поставщиками газа его потребителям, осуществляется уполномоченными органами исполнительной власти Республики Крым и г. Севастополя в области государственного регулирования тарифов по согласованию с федеральным органом исполнительной власти в сфере государственного регулирования цен (тарифов);</w:t>
            </w:r>
            <w:r w:rsidRPr="008B056A">
              <w:br/>
              <w:t xml:space="preserve">—  допускается установление оптовых цен на газ, определяемых федеральным органом исполнительной власти в сфере государственного регулирования цен (тарифов), с дифференциацией для различных категорий потребителей, в том числе установление указанных цен ниже экономически обоснованного уровня для одних категорий потребителей за счет </w:t>
            </w:r>
            <w:r w:rsidRPr="008B056A">
              <w:lastRenderedPageBreak/>
              <w:t>установления цен выше экономически обоснованного уровня для других категорий потребителей;</w:t>
            </w:r>
            <w:r w:rsidRPr="008B056A">
              <w:br/>
              <w:t>—  тарифы на услуги по транспортировке газа по газораспределительным сетям могут быть утверждены на срок менее 3 лет;</w:t>
            </w:r>
            <w:r w:rsidRPr="008B056A">
              <w:br/>
              <w:t>—  установление оптовых и розничных цен на газ, предназначенный для реализации населению Республики Крым и г. Севастополя, осуществляется исходя из целей их поэтапного доведения до уровня оптовых и розничных цен на газ, предназначенный для реализации населению Южного федерального округа.</w:t>
            </w:r>
            <w:r w:rsidRPr="008B056A">
              <w:br/>
              <w:t xml:space="preserve">Кроме того, указанное Постановление устанавливает, что на территории Республики Крым до 1 января 2020 г. организация, занимающаяся добычей газа и его транспортировкой по магистральным газопроводам на территории Республики Крым, в отношении которой осуществляется государственное регулирование оптовых цен на газ, одновременно с представлением в федеральный орган исполнительной власти в сфере государственного регулирования цен (тарифов) заявления об установлении (изменении) оптовых цен на газ и материалов, указанных в пункте 24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 № 1021, направляет копию указанного заявления и заверенные копии указанных материалов в уполномоченный орган исполнительной власти Республики Крым в области </w:t>
            </w:r>
            <w:r w:rsidRPr="008B056A">
              <w:lastRenderedPageBreak/>
              <w:t>государственного регулирования тарифов.</w:t>
            </w:r>
            <w:r w:rsidRPr="008B056A">
              <w:br/>
              <w:t>Уполномоченный орган исполнительной власти Республики Крым в области государственного регулирования тарифов в месячный срок со дня получения указанных документов представляет в федеральный орган исполнительной власти в сфере государственного регулирования цен (тарифов) заключение об обоснованности предложений такой организации в отношении установления (изменения) оптовых цен на газ. В случае возвращения федеральным органом исполнительной власти в сфере государственного регулирования цен (тарифов) указанных документов на доработку эта организация в течение 3 дней со дня получения указанных документов уведомляет об этом уполномоченный орган исполнительной власти Республики Крым в области государственного регулирования тарифов в письменной форме.</w:t>
            </w:r>
            <w:r w:rsidRPr="008B056A">
              <w:br/>
              <w:t>Кроме того, указанным постановлением признано утратившим силу постановление Правительства Российской Федерации от 26 декабря 2014 г. № 1518 „Об особенностях применения законодательства Российской Федерации о государственном регулировании цен (тарифов) в сфере газоснабжения на территориях Республики Крым и г. Севастополя“.</w:t>
            </w:r>
          </w:p>
        </w:tc>
        <w:tc>
          <w:tcPr>
            <w:tcW w:w="1470"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lastRenderedPageBreak/>
              <w:t>Документ вступает</w:t>
            </w:r>
            <w:r w:rsidRPr="008B056A">
              <w:br/>
              <w:t>в силу с 01.07.2017</w:t>
            </w:r>
          </w:p>
        </w:tc>
      </w:tr>
      <w:tr w:rsidR="00536CF2" w:rsidRPr="008B056A" w:rsidTr="00536CF2">
        <w:tc>
          <w:tcPr>
            <w:tcW w:w="321"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lastRenderedPageBreak/>
              <w:t>4.</w:t>
            </w:r>
          </w:p>
        </w:tc>
        <w:tc>
          <w:tcPr>
            <w:tcW w:w="2453" w:type="dxa"/>
            <w:gridSpan w:val="2"/>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Постановление Правительства РФ</w:t>
            </w:r>
            <w:r w:rsidRPr="008B056A">
              <w:br/>
              <w:t>от 15.06.2017 №713</w:t>
            </w:r>
          </w:p>
        </w:tc>
        <w:tc>
          <w:tcPr>
            <w:tcW w:w="5254"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Вступившим в силу с 29.06.2017 г. Постановлением для целей унификации процесса подключения к сети газораспределения утверждены:</w:t>
            </w:r>
            <w:r w:rsidRPr="008B056A">
              <w:br/>
              <w:t>—  изменения, которые вносятся в Правила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 1314);</w:t>
            </w:r>
            <w:r w:rsidRPr="008B056A">
              <w:br/>
              <w:t xml:space="preserve">—  типовые формы документов, подлежащих оформлению сторонами </w:t>
            </w:r>
            <w:r w:rsidRPr="008B056A">
              <w:lastRenderedPageBreak/>
              <w:t>в рамках подключения (технологического присоединения) к сетям газораспределения.</w:t>
            </w:r>
            <w:r w:rsidRPr="008B056A">
              <w:br/>
              <w:t>В частности, указанным Постановлением утверждены типовые формы:</w:t>
            </w:r>
            <w:r w:rsidRPr="008B056A">
              <w:br/>
              <w:t>—  запроса о предоставлении технических условий на подключение (технологическое присоединение) объектов капитального строительства к сети газораспределения;</w:t>
            </w:r>
            <w:r w:rsidRPr="008B056A">
              <w:br/>
              <w:t>—  технических условий на подключение (технологическое присоединение) объектов капитального строительства к сети газораспределения;</w:t>
            </w:r>
            <w:r w:rsidRPr="008B056A">
              <w:br/>
              <w:t>—  заявки о заключении договора о подключении (технологическом присоединении) объектов капитального строительства к сети газораспределения;</w:t>
            </w:r>
            <w:r w:rsidRPr="008B056A">
              <w:br/>
              <w:t>—  договора о подключении (технологическом присоединении) объектов капитального строительства к сети газораспределения;</w:t>
            </w:r>
            <w:r w:rsidRPr="008B056A">
              <w:br/>
              <w:t>—  акта о подключении (технологическом присоединении);</w:t>
            </w:r>
            <w:r w:rsidRPr="008B056A">
              <w:br/>
              <w:t>—  акта разграничения имущественной принадлежности;</w:t>
            </w:r>
            <w:r w:rsidRPr="008B056A">
              <w:br/>
              <w:t>—  акта разграничения эксплуатационной ответственности сторон;</w:t>
            </w:r>
            <w:r w:rsidRPr="008B056A">
              <w:br/>
              <w:t>—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1470"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lastRenderedPageBreak/>
              <w:t>Документ вступил</w:t>
            </w:r>
            <w:r w:rsidRPr="008B056A">
              <w:br/>
              <w:t>в силу с 29.06.2017</w:t>
            </w:r>
          </w:p>
        </w:tc>
      </w:tr>
      <w:tr w:rsidR="00536CF2" w:rsidRPr="008B056A" w:rsidTr="00536CF2">
        <w:tc>
          <w:tcPr>
            <w:tcW w:w="321"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5.</w:t>
            </w:r>
          </w:p>
        </w:tc>
        <w:tc>
          <w:tcPr>
            <w:tcW w:w="2453" w:type="dxa"/>
            <w:gridSpan w:val="2"/>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Постановление Правительства РФ</w:t>
            </w:r>
            <w:r w:rsidRPr="008B056A">
              <w:br/>
              <w:t>от 15.06.2017 №727</w:t>
            </w:r>
          </w:p>
        </w:tc>
        <w:tc>
          <w:tcPr>
            <w:tcW w:w="5254"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t>Вступающим в силу с 30.06.2017 г. Постановлением внесены изменения в акты Правительства Российской Федерации в сфере газоснабжения и газификации.</w:t>
            </w:r>
            <w:r w:rsidRPr="008B056A">
              <w:br/>
              <w:t>В частности, изменения внесены в: </w:t>
            </w:r>
            <w:r w:rsidRPr="008B056A">
              <w:br/>
              <w:t>—  Правила пользования газом и предоставления услуг по газоснабжению в Российской Федерации, утв. Постановлением Правительства Российской Федерации от 17 мая 2002 г. № 317 (далее – Правила № 317).</w:t>
            </w:r>
            <w:r w:rsidRPr="008B056A">
              <w:br/>
              <w:t xml:space="preserve">—  Правила подключения (технологического присоединения) объектов капитального строительства </w:t>
            </w:r>
            <w:r w:rsidRPr="008B056A">
              <w:lastRenderedPageBreak/>
              <w:t>к сетям газораспределения, утв. постановлением Правительства Российской Федерации от 30 декабря 2013 г. № 1314 (далее – Правила № 1314).</w:t>
            </w:r>
            <w:r w:rsidRPr="008B056A">
              <w:br/>
              <w:t>Так, пункт 49 Правил № 317 изменен и изложен в редакции, предусматривающей, что организации, эксплуатирующие газоиспользующее оборудование на тепловых электростанциях и источниках тепловой энергии, для которых проектом газоснабжения предусматривается сооружение резервного топливного хозяйства, обязаны обеспечивать готовность резервных топливных хозяйств и оборудования к работе на резервном топливе,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w:t>
            </w:r>
            <w:r w:rsidRPr="008B056A">
              <w:br/>
              <w:t>В рамках изменений, уточнены определения основных понятий Правил № 1314:</w:t>
            </w:r>
            <w:r w:rsidRPr="008B056A">
              <w:b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r w:rsidRPr="008B056A">
              <w:br/>
              <w:t xml:space="preserve">„исполнитель“ – газораспределительная организация, владеющая на праве </w:t>
            </w:r>
            <w:r w:rsidRPr="008B056A">
              <w:lastRenderedPageBreak/>
              <w:t>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r w:rsidRPr="008B056A">
              <w:br/>
              <w:t>абзац шестой пункта 2 Правил № 1314 изложен в следующей редакции:</w:t>
            </w:r>
            <w:r w:rsidRPr="008B056A">
              <w:b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tc>
        <w:tc>
          <w:tcPr>
            <w:tcW w:w="1470" w:type="dxa"/>
            <w:tcBorders>
              <w:top w:val="outset" w:sz="6" w:space="0" w:color="auto"/>
              <w:left w:val="outset" w:sz="6" w:space="0" w:color="auto"/>
              <w:bottom w:val="outset" w:sz="6" w:space="0" w:color="auto"/>
              <w:right w:val="outset" w:sz="6" w:space="0" w:color="auto"/>
            </w:tcBorders>
            <w:hideMark/>
          </w:tcPr>
          <w:p w:rsidR="00536CF2" w:rsidRPr="008B056A" w:rsidRDefault="00536CF2" w:rsidP="00183AE9">
            <w:pPr>
              <w:pStyle w:val="a5"/>
            </w:pPr>
            <w:r w:rsidRPr="008B056A">
              <w:lastRenderedPageBreak/>
              <w:t>Документ вступил</w:t>
            </w:r>
            <w:r w:rsidRPr="008B056A">
              <w:br/>
              <w:t>в силу с 30.06.2017</w:t>
            </w:r>
          </w:p>
        </w:tc>
      </w:tr>
    </w:tbl>
    <w:p w:rsidR="00536CF2" w:rsidRDefault="00536CF2"/>
    <w:bookmarkStart w:id="1" w:name="_GoBack"/>
    <w:bookmarkEnd w:id="1"/>
    <w:p w:rsidR="000B4331" w:rsidRDefault="00536CF2">
      <w:r>
        <w:fldChar w:fldCharType="begin"/>
      </w:r>
      <w:r>
        <w:instrText xml:space="preserve"> HYPERLINK "</w:instrText>
      </w:r>
      <w:r w:rsidRPr="00536CF2">
        <w:instrText>http://www.bigpowernews.ru/markets/document78062.phtml</w:instrText>
      </w:r>
      <w:r>
        <w:instrText xml:space="preserve">" </w:instrText>
      </w:r>
      <w:r>
        <w:fldChar w:fldCharType="separate"/>
      </w:r>
      <w:r w:rsidRPr="0010039A">
        <w:rPr>
          <w:rStyle w:val="a7"/>
        </w:rPr>
        <w:t>http://www.bigpowernews.ru/markets/document78062.phtml</w:t>
      </w:r>
      <w:r>
        <w:fldChar w:fldCharType="end"/>
      </w:r>
    </w:p>
    <w:p w:rsidR="00536CF2" w:rsidRDefault="00536CF2"/>
    <w:sectPr w:rsidR="00536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17"/>
    <w:rsid w:val="000B4331"/>
    <w:rsid w:val="003E1217"/>
    <w:rsid w:val="00536CF2"/>
    <w:rsid w:val="007F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0EE5"/>
  <w15:chartTrackingRefBased/>
  <w15:docId w15:val="{E309FABB-F154-4019-B316-272AFCEB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link w:val="a4"/>
    <w:qFormat/>
    <w:rsid w:val="00536CF2"/>
    <w:pPr>
      <w:spacing w:after="0" w:line="240" w:lineRule="auto"/>
      <w:jc w:val="both"/>
    </w:pPr>
    <w:rPr>
      <w:rFonts w:ascii="Times New Roman" w:hAnsi="Times New Roman" w:cs="Times New Roman"/>
      <w:b/>
      <w:sz w:val="28"/>
      <w:szCs w:val="28"/>
    </w:rPr>
  </w:style>
  <w:style w:type="character" w:customStyle="1" w:styleId="a4">
    <w:name w:val="!заг Знак"/>
    <w:basedOn w:val="a0"/>
    <w:link w:val="a3"/>
    <w:rsid w:val="00536CF2"/>
    <w:rPr>
      <w:rFonts w:ascii="Times New Roman" w:hAnsi="Times New Roman" w:cs="Times New Roman"/>
      <w:b/>
      <w:sz w:val="28"/>
      <w:szCs w:val="28"/>
    </w:rPr>
  </w:style>
  <w:style w:type="paragraph" w:customStyle="1" w:styleId="a5">
    <w:name w:val="!текст"/>
    <w:basedOn w:val="a"/>
    <w:link w:val="a6"/>
    <w:qFormat/>
    <w:rsid w:val="00536CF2"/>
    <w:pPr>
      <w:spacing w:after="0" w:line="240" w:lineRule="auto"/>
      <w:jc w:val="both"/>
    </w:pPr>
    <w:rPr>
      <w:rFonts w:ascii="Times New Roman" w:hAnsi="Times New Roman" w:cs="Times New Roman"/>
      <w:sz w:val="28"/>
      <w:szCs w:val="28"/>
    </w:rPr>
  </w:style>
  <w:style w:type="character" w:customStyle="1" w:styleId="a6">
    <w:name w:val="!текст Знак"/>
    <w:basedOn w:val="a0"/>
    <w:link w:val="a5"/>
    <w:rsid w:val="00536CF2"/>
    <w:rPr>
      <w:rFonts w:ascii="Times New Roman" w:hAnsi="Times New Roman" w:cs="Times New Roman"/>
      <w:sz w:val="28"/>
      <w:szCs w:val="28"/>
    </w:rPr>
  </w:style>
  <w:style w:type="character" w:styleId="a7">
    <w:name w:val="Hyperlink"/>
    <w:basedOn w:val="a0"/>
    <w:uiPriority w:val="99"/>
    <w:unhideWhenUsed/>
    <w:rsid w:val="00536CF2"/>
    <w:rPr>
      <w:color w:val="0563C1" w:themeColor="hyperlink"/>
      <w:u w:val="single"/>
    </w:rPr>
  </w:style>
  <w:style w:type="character" w:styleId="a8">
    <w:name w:val="Unresolved Mention"/>
    <w:basedOn w:val="a0"/>
    <w:uiPriority w:val="99"/>
    <w:semiHidden/>
    <w:unhideWhenUsed/>
    <w:rsid w:val="00536C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3566</Words>
  <Characters>20330</Characters>
  <Application>Microsoft Office Word</Application>
  <DocSecurity>0</DocSecurity>
  <Lines>169</Lines>
  <Paragraphs>47</Paragraphs>
  <ScaleCrop>false</ScaleCrop>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 Югош</dc:creator>
  <cp:keywords/>
  <dc:description/>
  <cp:lastModifiedBy>Татьяна П. Югош</cp:lastModifiedBy>
  <cp:revision>2</cp:revision>
  <dcterms:created xsi:type="dcterms:W3CDTF">2017-07-04T14:44:00Z</dcterms:created>
  <dcterms:modified xsi:type="dcterms:W3CDTF">2017-07-04T14:45:00Z</dcterms:modified>
</cp:coreProperties>
</file>